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356" w:tblpY="-696"/>
        <w:tblW w:w="10418" w:type="dxa"/>
        <w:tblLayout w:type="fixed"/>
        <w:tblCellMar>
          <w:left w:w="70" w:type="dxa"/>
          <w:right w:w="70" w:type="dxa"/>
        </w:tblCellMar>
        <w:tblLook w:val="0000" w:firstRow="0" w:lastRow="0" w:firstColumn="0" w:lastColumn="0" w:noHBand="0" w:noVBand="0"/>
      </w:tblPr>
      <w:tblGrid>
        <w:gridCol w:w="4814"/>
        <w:gridCol w:w="5604"/>
      </w:tblGrid>
      <w:tr w:rsidR="0094517A" w14:paraId="57AC48C4" w14:textId="77777777" w:rsidTr="002548DA">
        <w:trPr>
          <w:trHeight w:val="854"/>
        </w:trPr>
        <w:tc>
          <w:tcPr>
            <w:tcW w:w="10418" w:type="dxa"/>
            <w:gridSpan w:val="2"/>
          </w:tcPr>
          <w:p w14:paraId="01517245" w14:textId="75D42D16" w:rsidR="0094517A" w:rsidRDefault="0094517A">
            <w:pPr>
              <w:snapToGrid w:val="0"/>
              <w:ind w:left="-142"/>
              <w:jc w:val="center"/>
              <w:rPr>
                <w:sz w:val="12"/>
              </w:rPr>
            </w:pPr>
          </w:p>
          <w:p w14:paraId="2C997F55" w14:textId="77777777" w:rsidR="0094517A" w:rsidRDefault="0094517A">
            <w:pPr>
              <w:ind w:left="355"/>
              <w:jc w:val="center"/>
              <w:rPr>
                <w:sz w:val="12"/>
              </w:rPr>
            </w:pPr>
          </w:p>
          <w:p w14:paraId="6BAF2F13" w14:textId="429D5CB6" w:rsidR="002548DA" w:rsidRDefault="002548DA" w:rsidP="002548DA">
            <w:r>
              <w:rPr>
                <w:noProof/>
              </w:rPr>
              <w:drawing>
                <wp:anchor distT="0" distB="0" distL="114300" distR="114300" simplePos="0" relativeHeight="251659776" behindDoc="0" locked="0" layoutInCell="1" allowOverlap="0" wp14:anchorId="69FC966D" wp14:editId="4C6465AC">
                  <wp:simplePos x="0" y="0"/>
                  <wp:positionH relativeFrom="column">
                    <wp:posOffset>0</wp:posOffset>
                  </wp:positionH>
                  <wp:positionV relativeFrom="line">
                    <wp:posOffset>0</wp:posOffset>
                  </wp:positionV>
                  <wp:extent cx="1428750" cy="1219200"/>
                  <wp:effectExtent l="0" t="0" r="0" b="0"/>
                  <wp:wrapSquare wrapText="bothSides"/>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219200"/>
                          </a:xfrm>
                          <a:prstGeom prst="rect">
                            <a:avLst/>
                          </a:prstGeom>
                          <a:noFill/>
                        </pic:spPr>
                      </pic:pic>
                    </a:graphicData>
                  </a:graphic>
                  <wp14:sizeRelH relativeFrom="page">
                    <wp14:pctWidth>0</wp14:pctWidth>
                  </wp14:sizeRelH>
                  <wp14:sizeRelV relativeFrom="page">
                    <wp14:pctHeight>0</wp14:pctHeight>
                  </wp14:sizeRelV>
                </wp:anchor>
              </w:drawing>
            </w:r>
          </w:p>
          <w:p w14:paraId="3AADD015" w14:textId="77777777" w:rsidR="002548DA" w:rsidRDefault="002548DA" w:rsidP="002548DA">
            <w:pPr>
              <w:pStyle w:val="NormalWeb"/>
              <w:spacing w:before="0" w:after="0"/>
              <w:jc w:val="right"/>
              <w:rPr>
                <w:rFonts w:ascii="Arial" w:hAnsi="Arial" w:cs="Arial"/>
                <w:b/>
                <w:bCs/>
              </w:rPr>
            </w:pPr>
            <w:r>
              <w:rPr>
                <w:rFonts w:ascii="Arial" w:hAnsi="Arial" w:cs="Arial"/>
                <w:b/>
                <w:bCs/>
              </w:rPr>
              <w:t>Direction départementale</w:t>
            </w:r>
          </w:p>
          <w:p w14:paraId="391489ED" w14:textId="77777777" w:rsidR="002548DA" w:rsidRDefault="002548DA" w:rsidP="002548DA">
            <w:pPr>
              <w:pStyle w:val="NormalWeb"/>
              <w:spacing w:before="0" w:after="0"/>
              <w:jc w:val="right"/>
            </w:pPr>
            <w:proofErr w:type="gramStart"/>
            <w:r>
              <w:rPr>
                <w:rFonts w:ascii="Arial" w:hAnsi="Arial" w:cs="Arial"/>
                <w:b/>
                <w:bCs/>
              </w:rPr>
              <w:t>des</w:t>
            </w:r>
            <w:proofErr w:type="gramEnd"/>
            <w:r>
              <w:rPr>
                <w:rFonts w:ascii="Arial" w:hAnsi="Arial" w:cs="Arial"/>
                <w:b/>
                <w:bCs/>
              </w:rPr>
              <w:t xml:space="preserve"> territoires</w:t>
            </w:r>
          </w:p>
          <w:p w14:paraId="17B6B78D" w14:textId="5E8B814F" w:rsidR="0094517A" w:rsidRDefault="00737970">
            <w:pPr>
              <w:pStyle w:val="Pieddeprempage"/>
              <w:keepLines w:val="0"/>
              <w:tabs>
                <w:tab w:val="clear" w:pos="4320"/>
                <w:tab w:val="clear" w:pos="4536"/>
                <w:tab w:val="clear" w:pos="9072"/>
              </w:tabs>
              <w:rPr>
                <w:bCs/>
                <w:sz w:val="16"/>
              </w:rPr>
            </w:pPr>
            <w:r>
              <w:rPr>
                <w:b/>
                <w:bCs/>
                <w:noProof/>
                <w:color w:val="FF0000"/>
              </w:rPr>
              <mc:AlternateContent>
                <mc:Choice Requires="wps">
                  <w:drawing>
                    <wp:anchor distT="0" distB="0" distL="114300" distR="114300" simplePos="0" relativeHeight="251661824" behindDoc="0" locked="0" layoutInCell="1" allowOverlap="1" wp14:anchorId="28ECA48B" wp14:editId="10E0F40E">
                      <wp:simplePos x="0" y="0"/>
                      <wp:positionH relativeFrom="column">
                        <wp:posOffset>4732817</wp:posOffset>
                      </wp:positionH>
                      <wp:positionV relativeFrom="paragraph">
                        <wp:posOffset>579238</wp:posOffset>
                      </wp:positionV>
                      <wp:extent cx="1395095" cy="21907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95095" cy="219075"/>
                              </a:xfrm>
                              <a:prstGeom prst="rect">
                                <a:avLst/>
                              </a:prstGeom>
                              <a:extLst>
                                <a:ext uri="{AF507438-7753-43E0-B8FC-AC1667EBCBE1}">
                                  <a14:hiddenEffects xmlns:a14="http://schemas.microsoft.com/office/drawing/2010/main">
                                    <a:effectLst/>
                                  </a14:hiddenEffects>
                                </a:ext>
                              </a:extLst>
                            </wps:spPr>
                            <wps:txbx>
                              <w:txbxContent>
                                <w:p w14:paraId="2B68622F" w14:textId="25E6CC13" w:rsidR="00737970" w:rsidRPr="00737970" w:rsidRDefault="00737970" w:rsidP="00737970">
                                  <w:pPr>
                                    <w:jc w:val="center"/>
                                    <w:rPr>
                                      <w:rFonts w:ascii="Arial Black" w:hAnsi="Arial Black"/>
                                      <w:outline/>
                                      <w:color w:val="000000"/>
                                      <w14:textOutline w14:w="9525" w14:cap="flat" w14:cmpd="sng" w14:algn="ctr">
                                        <w14:solidFill>
                                          <w14:srgbClr w14:val="000000"/>
                                        </w14:solidFill>
                                        <w14:prstDash w14:val="solid"/>
                                        <w14:round/>
                                      </w14:textOutline>
                                      <w14:textFill>
                                        <w14:noFill/>
                                      </w14:textFill>
                                    </w:rPr>
                                  </w:pPr>
                                  <w:r w:rsidRPr="00734C1C">
                                    <w:rPr>
                                      <w:rFonts w:ascii="Arial" w:hAnsi="Arial" w:cs="Arial"/>
                                      <w:outline/>
                                      <w:color w:val="000000"/>
                                      <w:sz w:val="36"/>
                                      <w:szCs w:val="36"/>
                                      <w14:textOutline w14:w="9525" w14:cap="flat" w14:cmpd="sng" w14:algn="ctr">
                                        <w14:solidFill>
                                          <w14:srgbClr w14:val="000000"/>
                                        </w14:solidFill>
                                        <w14:prstDash w14:val="solid"/>
                                        <w14:round/>
                                      </w14:textOutline>
                                      <w14:textFill>
                                        <w14:noFill/>
                                      </w14:textFill>
                                    </w:rPr>
                                    <w:t xml:space="preserve">Annexe </w:t>
                                  </w:r>
                                  <w:r w:rsidR="00734C1C">
                                    <w:rPr>
                                      <w:rFonts w:ascii="Arial" w:hAnsi="Arial" w:cs="Arial"/>
                                      <w:outline/>
                                      <w:color w:val="000000"/>
                                      <w:sz w:val="36"/>
                                      <w:szCs w:val="36"/>
                                      <w14:textOutline w14:w="9525" w14:cap="flat" w14:cmpd="sng" w14:algn="ctr">
                                        <w14:solidFill>
                                          <w14:srgbClr w14:val="000000"/>
                                        </w14:solidFill>
                                        <w14:prstDash w14:val="solid"/>
                                        <w14:round/>
                                      </w14:textOutline>
                                      <w14:textFill>
                                        <w14:noFill/>
                                      </w14:textFill>
                                    </w:rPr>
                                    <w:t>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ECA48B" id="_x0000_t202" coordsize="21600,21600" o:spt="202" path="m,l,21600r21600,l21600,xe">
                      <v:stroke joinstyle="miter"/>
                      <v:path gradientshapeok="t" o:connecttype="rect"/>
                    </v:shapetype>
                    <v:shape id="WordArt 3" o:spid="_x0000_s1026" type="#_x0000_t202" style="position:absolute;left:0;text-align:left;margin-left:372.65pt;margin-top:45.6pt;width:109.8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7N7QEAALUDAAAOAAAAZHJzL2Uyb0RvYy54bWysk01v2zAMhu8D9h8E3Rc7GbItRpwia9dd&#10;urVAM/TM6CP2ZomapMTOvx+lOOmw3Yr6INgS9fJ5SXp5NZiOHZQPLdqaTyclZ8oKlK3d1fzH5vbd&#10;J85CBCuhQ6tqflSBX63evln2rlIzbLCTyjMSsaHqXc2bGF1VFEE0ykCYoFOWDjV6A5E+/a6QHnpS&#10;N10xK8sPRY9eOo9ChUC7N6dDvsr6WisR77UOKrKu5sQW8+rzuk1rsVpCtfPgmlaMGPACCgOtpaQX&#10;qRuIwPa+/U/KtMJjQB0nAk2BWrdCZQ/kZlr+4+axAaeyFypOcJcyhdeTFd8Pj+7Bszh8xoEamE0E&#10;d4fiV2AWrxuwO7X2HvtGgaTEU37Zznibo6O25t2NGuIX2VKNp6muRe9CNeqnfoQqpEzb/htKugL7&#10;iDnboL1JpaNiMEKgLh0vnSFFJhLX+8W8XMw5E3Q2my7Kj/OcAqrzbedD/KrQsPRSc0+dz+pwuAsx&#10;0UB1DhnREs2JKw7bgUIS4hblkSB7moiah9978IoM78010gCRS+3RPNHIrX22mbiT7GZ4Au/G3JGo&#10;H7rzRGSAPBqSWTDJufxJQqajQTtAx+YlPaObMXiEPammu8GtqVy3bXbyzDk6odnIBsc5TsP393eO&#10;ev7bVn8AAAD//wMAUEsDBBQABgAIAAAAIQC9xPSE3gAAAAoBAAAPAAAAZHJzL2Rvd25yZXYueG1s&#10;TI/LTsMwEEX3SPyDNUjsqJNA+ghxqoqHxIINJeynsRtHxOModpv07xlWsBzN0b3nltvZ9eJsxtB5&#10;UpAuEhCGGq87ahXUn693axAhImnsPRkFFxNgW11flVhoP9GHOe9jKziEQoEKbIxDIWVorHEYFn4w&#10;xL+jHx1GPsdW6hEnDne9zJJkKR12xA0WB/NkTfO9PzkFMepdeqlfXHj7mt+fJ5s0OdZK3d7Mu0cQ&#10;0czxD4ZffVaHip0O/kQ6iF7B6iG/Z1TBJs1AMLBZ5jzuwGSWr0BWpfw/ofoBAAD//wMAUEsBAi0A&#10;FAAGAAgAAAAhALaDOJL+AAAA4QEAABMAAAAAAAAAAAAAAAAAAAAAAFtDb250ZW50X1R5cGVzXS54&#10;bWxQSwECLQAUAAYACAAAACEAOP0h/9YAAACUAQAACwAAAAAAAAAAAAAAAAAvAQAAX3JlbHMvLnJl&#10;bHNQSwECLQAUAAYACAAAACEAQtvuze0BAAC1AwAADgAAAAAAAAAAAAAAAAAuAgAAZHJzL2Uyb0Rv&#10;Yy54bWxQSwECLQAUAAYACAAAACEAvcT0hN4AAAAKAQAADwAAAAAAAAAAAAAAAABHBAAAZHJzL2Rv&#10;d25yZXYueG1sUEsFBgAAAAAEAAQA8wAAAFIFAAAAAA==&#10;" filled="f" stroked="f">
                      <o:lock v:ext="edit" shapetype="t"/>
                      <v:textbox style="mso-fit-shape-to-text:t">
                        <w:txbxContent>
                          <w:p w14:paraId="2B68622F" w14:textId="25E6CC13" w:rsidR="00737970" w:rsidRPr="00737970" w:rsidRDefault="00737970" w:rsidP="00737970">
                            <w:pPr>
                              <w:jc w:val="center"/>
                              <w:rPr>
                                <w:rFonts w:ascii="Arial Black" w:hAnsi="Arial Black"/>
                                <w:outline/>
                                <w:color w:val="000000"/>
                                <w14:textOutline w14:w="9525" w14:cap="flat" w14:cmpd="sng" w14:algn="ctr">
                                  <w14:solidFill>
                                    <w14:srgbClr w14:val="000000"/>
                                  </w14:solidFill>
                                  <w14:prstDash w14:val="solid"/>
                                  <w14:round/>
                                </w14:textOutline>
                                <w14:textFill>
                                  <w14:noFill/>
                                </w14:textFill>
                              </w:rPr>
                            </w:pPr>
                            <w:r w:rsidRPr="00734C1C">
                              <w:rPr>
                                <w:rFonts w:ascii="Arial" w:hAnsi="Arial" w:cs="Arial"/>
                                <w:outline/>
                                <w:color w:val="000000"/>
                                <w:sz w:val="36"/>
                                <w:szCs w:val="36"/>
                                <w14:textOutline w14:w="9525" w14:cap="flat" w14:cmpd="sng" w14:algn="ctr">
                                  <w14:solidFill>
                                    <w14:srgbClr w14:val="000000"/>
                                  </w14:solidFill>
                                  <w14:prstDash w14:val="solid"/>
                                  <w14:round/>
                                </w14:textOutline>
                                <w14:textFill>
                                  <w14:noFill/>
                                </w14:textFill>
                              </w:rPr>
                              <w:t xml:space="preserve">Annexe </w:t>
                            </w:r>
                            <w:r w:rsidR="00734C1C">
                              <w:rPr>
                                <w:rFonts w:ascii="Arial" w:hAnsi="Arial" w:cs="Arial"/>
                                <w:outline/>
                                <w:color w:val="000000"/>
                                <w:sz w:val="36"/>
                                <w:szCs w:val="36"/>
                                <w14:textOutline w14:w="9525" w14:cap="flat" w14:cmpd="sng" w14:algn="ctr">
                                  <w14:solidFill>
                                    <w14:srgbClr w14:val="000000"/>
                                  </w14:solidFill>
                                  <w14:prstDash w14:val="solid"/>
                                  <w14:round/>
                                </w14:textOutline>
                                <w14:textFill>
                                  <w14:noFill/>
                                </w14:textFill>
                              </w:rPr>
                              <w:t>7</w:t>
                            </w:r>
                          </w:p>
                        </w:txbxContent>
                      </v:textbox>
                    </v:shape>
                  </w:pict>
                </mc:Fallback>
              </mc:AlternateContent>
            </w:r>
          </w:p>
        </w:tc>
      </w:tr>
      <w:tr w:rsidR="0094517A" w14:paraId="4D8B2566" w14:textId="77777777" w:rsidTr="002548DA">
        <w:trPr>
          <w:trHeight w:val="643"/>
        </w:trPr>
        <w:tc>
          <w:tcPr>
            <w:tcW w:w="4814" w:type="dxa"/>
          </w:tcPr>
          <w:p w14:paraId="4679EA69" w14:textId="16BF24D9" w:rsidR="0094517A" w:rsidRDefault="0094517A">
            <w:pPr>
              <w:pStyle w:val="Titre2"/>
              <w:numPr>
                <w:ilvl w:val="0"/>
                <w:numId w:val="0"/>
              </w:numPr>
              <w:ind w:right="2623"/>
              <w:jc w:val="center"/>
              <w:rPr>
                <w:rFonts w:ascii="Times New Roman" w:hAnsi="Times New Roman" w:cs="Times New Roman"/>
                <w:bCs/>
                <w:sz w:val="16"/>
              </w:rPr>
            </w:pPr>
          </w:p>
        </w:tc>
        <w:tc>
          <w:tcPr>
            <w:tcW w:w="5604" w:type="dxa"/>
          </w:tcPr>
          <w:p w14:paraId="4E228F37" w14:textId="77777777" w:rsidR="0094517A" w:rsidRDefault="0094517A">
            <w:pPr>
              <w:snapToGrid w:val="0"/>
              <w:rPr>
                <w:rFonts w:ascii="Arial" w:hAnsi="Arial" w:cs="Arial"/>
                <w:b/>
                <w:sz w:val="18"/>
              </w:rPr>
            </w:pPr>
          </w:p>
          <w:p w14:paraId="1EDD1F5A" w14:textId="77777777" w:rsidR="0094517A" w:rsidRDefault="0094517A">
            <w:pPr>
              <w:pStyle w:val="Pieddepage"/>
              <w:tabs>
                <w:tab w:val="clear" w:pos="4536"/>
                <w:tab w:val="clear" w:pos="9072"/>
              </w:tabs>
              <w:rPr>
                <w:sz w:val="18"/>
              </w:rPr>
            </w:pPr>
          </w:p>
          <w:p w14:paraId="24088887" w14:textId="59EBEB58" w:rsidR="0094517A" w:rsidRDefault="0094517A">
            <w:pPr>
              <w:pStyle w:val="Pieddepage"/>
              <w:tabs>
                <w:tab w:val="clear" w:pos="4536"/>
                <w:tab w:val="clear" w:pos="9072"/>
              </w:tabs>
              <w:rPr>
                <w:sz w:val="18"/>
              </w:rPr>
            </w:pPr>
          </w:p>
          <w:p w14:paraId="766A6BCC" w14:textId="77777777" w:rsidR="0094517A" w:rsidRDefault="0094517A">
            <w:pPr>
              <w:pStyle w:val="Pieddepage"/>
              <w:tabs>
                <w:tab w:val="clear" w:pos="4536"/>
                <w:tab w:val="clear" w:pos="9072"/>
              </w:tabs>
              <w:rPr>
                <w:sz w:val="18"/>
              </w:rPr>
            </w:pPr>
          </w:p>
          <w:p w14:paraId="6BB65942" w14:textId="19F9BE5F" w:rsidR="0094517A" w:rsidRDefault="0094517A">
            <w:pPr>
              <w:pStyle w:val="Pieddepage"/>
              <w:tabs>
                <w:tab w:val="clear" w:pos="4536"/>
                <w:tab w:val="clear" w:pos="9072"/>
              </w:tabs>
              <w:ind w:left="497"/>
            </w:pPr>
          </w:p>
        </w:tc>
      </w:tr>
    </w:tbl>
    <w:p w14:paraId="6E268D99" w14:textId="77777777" w:rsidR="0094517A" w:rsidRDefault="0094517A">
      <w:pPr>
        <w:pStyle w:val="NormalWeb"/>
        <w:spacing w:before="0" w:beforeAutospacing="0" w:after="0"/>
        <w:rPr>
          <w:rFonts w:ascii="Arial" w:hAnsi="Arial" w:cs="Arial"/>
          <w:b/>
          <w:bCs/>
          <w:sz w:val="20"/>
          <w:szCs w:val="20"/>
        </w:rPr>
      </w:pPr>
    </w:p>
    <w:p w14:paraId="581314BA" w14:textId="77777777" w:rsidR="0094517A" w:rsidRDefault="00707FC7">
      <w:pPr>
        <w:pStyle w:val="NormalWeb"/>
        <w:spacing w:before="0" w:beforeAutospacing="0" w:after="0"/>
        <w:jc w:val="center"/>
        <w:rPr>
          <w:rFonts w:ascii="Arial" w:hAnsi="Arial" w:cs="Arial"/>
          <w:b/>
          <w:bCs/>
          <w:sz w:val="20"/>
          <w:szCs w:val="20"/>
        </w:rPr>
      </w:pPr>
      <w:r>
        <w:rPr>
          <w:rFonts w:ascii="Arial" w:hAnsi="Arial" w:cs="Arial"/>
          <w:b/>
          <w:bCs/>
          <w:sz w:val="20"/>
          <w:szCs w:val="20"/>
        </w:rPr>
        <w:t>INDEMNISATION DES DEGATS CAUSES PAR LE GIBIER</w:t>
      </w:r>
    </w:p>
    <w:p w14:paraId="6F0EFE02" w14:textId="77777777" w:rsidR="0094517A" w:rsidRDefault="00707FC7">
      <w:pPr>
        <w:pStyle w:val="NormalWeb"/>
        <w:spacing w:before="0" w:beforeAutospacing="0" w:after="0"/>
        <w:jc w:val="center"/>
        <w:rPr>
          <w:rFonts w:ascii="Arial" w:hAnsi="Arial" w:cs="Arial"/>
          <w:b/>
          <w:bCs/>
          <w:sz w:val="20"/>
          <w:szCs w:val="20"/>
        </w:rPr>
      </w:pPr>
      <w:r>
        <w:rPr>
          <w:rFonts w:ascii="Arial" w:hAnsi="Arial" w:cs="Arial"/>
          <w:b/>
          <w:bCs/>
          <w:sz w:val="20"/>
          <w:szCs w:val="20"/>
        </w:rPr>
        <w:t xml:space="preserve"> AUTRE QUE CEUX COMMIS PAR LES SANGLIERS</w:t>
      </w:r>
    </w:p>
    <w:p w14:paraId="2D3375C9" w14:textId="77777777" w:rsidR="0094517A" w:rsidRDefault="00707FC7">
      <w:pPr>
        <w:pStyle w:val="NormalWeb"/>
        <w:spacing w:before="0" w:beforeAutospacing="0" w:after="0"/>
        <w:jc w:val="center"/>
        <w:rPr>
          <w:rFonts w:ascii="Arial" w:hAnsi="Arial" w:cs="Arial"/>
        </w:rPr>
      </w:pPr>
      <w:proofErr w:type="gramStart"/>
      <w:r>
        <w:rPr>
          <w:rFonts w:ascii="Arial" w:hAnsi="Arial" w:cs="Arial"/>
          <w:b/>
          <w:bCs/>
          <w:sz w:val="20"/>
          <w:szCs w:val="20"/>
        </w:rPr>
        <w:t>Articles  L.429</w:t>
      </w:r>
      <w:proofErr w:type="gramEnd"/>
      <w:r>
        <w:rPr>
          <w:rFonts w:ascii="Arial" w:hAnsi="Arial" w:cs="Arial"/>
          <w:b/>
          <w:bCs/>
          <w:sz w:val="20"/>
          <w:szCs w:val="20"/>
        </w:rPr>
        <w:t>-23 à 26 et R.429-8 à 14 du code de l'environnement</w:t>
      </w:r>
    </w:p>
    <w:p w14:paraId="2A3A5898" w14:textId="77777777" w:rsidR="0094517A" w:rsidRDefault="0094517A">
      <w:pPr>
        <w:pStyle w:val="NormalWeb"/>
        <w:spacing w:before="0" w:beforeAutospacing="0" w:after="0"/>
        <w:jc w:val="both"/>
        <w:rPr>
          <w:rFonts w:ascii="Arial" w:hAnsi="Arial" w:cs="Arial"/>
          <w:sz w:val="20"/>
          <w:szCs w:val="20"/>
        </w:rPr>
      </w:pPr>
    </w:p>
    <w:p w14:paraId="1B657804" w14:textId="77777777" w:rsidR="0094517A" w:rsidRDefault="00707FC7">
      <w:pPr>
        <w:pStyle w:val="NormalWeb"/>
        <w:spacing w:before="0" w:beforeAutospacing="0" w:after="0"/>
        <w:jc w:val="both"/>
        <w:rPr>
          <w:rFonts w:ascii="Arial" w:hAnsi="Arial" w:cs="Arial"/>
          <w:sz w:val="20"/>
          <w:szCs w:val="20"/>
        </w:rPr>
      </w:pPr>
      <w:r>
        <w:rPr>
          <w:rFonts w:ascii="Arial" w:hAnsi="Arial" w:cs="Arial"/>
          <w:sz w:val="20"/>
          <w:szCs w:val="20"/>
        </w:rPr>
        <w:t xml:space="preserve">L'action en réparation comporte une phase administrative, suivie éventuellement d'une phase judiciaire. </w:t>
      </w:r>
    </w:p>
    <w:p w14:paraId="1EB9FF28" w14:textId="77777777" w:rsidR="0094517A" w:rsidRDefault="0094517A">
      <w:pPr>
        <w:pStyle w:val="NormalWeb"/>
        <w:spacing w:before="0" w:beforeAutospacing="0" w:after="0"/>
        <w:jc w:val="both"/>
        <w:rPr>
          <w:rFonts w:ascii="Arial" w:hAnsi="Arial" w:cs="Arial"/>
          <w:b/>
          <w:bCs/>
          <w:sz w:val="20"/>
          <w:szCs w:val="20"/>
        </w:rPr>
      </w:pPr>
    </w:p>
    <w:p w14:paraId="607E62DE" w14:textId="77777777" w:rsidR="0094517A" w:rsidRDefault="00707FC7">
      <w:pPr>
        <w:pStyle w:val="NormalWeb"/>
        <w:numPr>
          <w:ilvl w:val="0"/>
          <w:numId w:val="1"/>
        </w:numPr>
        <w:tabs>
          <w:tab w:val="clear" w:pos="17"/>
        </w:tabs>
        <w:spacing w:before="0" w:beforeAutospacing="0" w:after="0"/>
        <w:ind w:left="360"/>
        <w:jc w:val="both"/>
        <w:rPr>
          <w:rFonts w:ascii="Arial" w:hAnsi="Arial" w:cs="Arial"/>
          <w:b/>
          <w:bCs/>
          <w:sz w:val="20"/>
          <w:szCs w:val="20"/>
        </w:rPr>
      </w:pPr>
      <w:r>
        <w:rPr>
          <w:rFonts w:ascii="Arial" w:hAnsi="Arial" w:cs="Arial"/>
          <w:b/>
          <w:bCs/>
          <w:sz w:val="20"/>
          <w:szCs w:val="20"/>
        </w:rPr>
        <w:t>Phase administrative</w:t>
      </w:r>
    </w:p>
    <w:p w14:paraId="6BA3C779" w14:textId="77777777" w:rsidR="0094517A" w:rsidRDefault="0094517A">
      <w:pPr>
        <w:pStyle w:val="NormalWeb"/>
        <w:spacing w:before="0" w:beforeAutospacing="0" w:after="0"/>
        <w:jc w:val="both"/>
        <w:rPr>
          <w:rFonts w:ascii="Arial" w:hAnsi="Arial" w:cs="Arial"/>
          <w:sz w:val="20"/>
          <w:szCs w:val="20"/>
        </w:rPr>
      </w:pPr>
    </w:p>
    <w:p w14:paraId="05284B39" w14:textId="0CC1188F" w:rsidR="0094517A" w:rsidRDefault="00707FC7">
      <w:pPr>
        <w:pStyle w:val="NormalWeb"/>
        <w:spacing w:before="0" w:beforeAutospacing="0" w:after="0"/>
        <w:jc w:val="both"/>
        <w:rPr>
          <w:rFonts w:ascii="Arial" w:hAnsi="Arial" w:cs="Arial"/>
          <w:i/>
          <w:iCs/>
          <w:sz w:val="20"/>
          <w:szCs w:val="20"/>
        </w:rPr>
      </w:pPr>
      <w:r>
        <w:rPr>
          <w:rFonts w:ascii="Arial" w:hAnsi="Arial" w:cs="Arial"/>
          <w:sz w:val="20"/>
          <w:szCs w:val="20"/>
        </w:rPr>
        <w:t xml:space="preserve">La phase administrative, qui concerne l'évaluation des dommages </w:t>
      </w:r>
      <w:r w:rsidRPr="00E7662D">
        <w:rPr>
          <w:rFonts w:ascii="Arial" w:hAnsi="Arial" w:cs="Arial"/>
          <w:b/>
          <w:bCs/>
          <w:sz w:val="20"/>
          <w:szCs w:val="20"/>
          <w:u w:val="single"/>
        </w:rPr>
        <w:t>causés par le</w:t>
      </w:r>
      <w:r w:rsidR="00E7662D" w:rsidRPr="00E7662D">
        <w:rPr>
          <w:rFonts w:ascii="Arial" w:hAnsi="Arial" w:cs="Arial"/>
          <w:b/>
          <w:bCs/>
          <w:sz w:val="20"/>
          <w:szCs w:val="20"/>
          <w:u w:val="single"/>
        </w:rPr>
        <w:t>s cerfs, chevreuils, daims, lièvre, faisan et lapin de garenne</w:t>
      </w:r>
      <w:r>
        <w:rPr>
          <w:rFonts w:ascii="Arial" w:hAnsi="Arial" w:cs="Arial"/>
          <w:sz w:val="20"/>
          <w:szCs w:val="20"/>
        </w:rPr>
        <w:t xml:space="preserve"> est placée sous la responsabilité du maire et du </w:t>
      </w:r>
      <w:r w:rsidR="00E7662D">
        <w:rPr>
          <w:rFonts w:ascii="Arial" w:hAnsi="Arial" w:cs="Arial"/>
          <w:sz w:val="20"/>
          <w:szCs w:val="20"/>
        </w:rPr>
        <w:t>C</w:t>
      </w:r>
      <w:r>
        <w:rPr>
          <w:rFonts w:ascii="Arial" w:hAnsi="Arial" w:cs="Arial"/>
          <w:sz w:val="20"/>
          <w:szCs w:val="20"/>
        </w:rPr>
        <w:t>onseil municipal et elle débute par la nomination d'un estimateur</w:t>
      </w:r>
      <w:r>
        <w:rPr>
          <w:rFonts w:ascii="Arial" w:hAnsi="Arial" w:cs="Arial"/>
          <w:i/>
          <w:iCs/>
          <w:sz w:val="20"/>
          <w:szCs w:val="20"/>
        </w:rPr>
        <w:t xml:space="preserve">. </w:t>
      </w:r>
      <w:r>
        <w:rPr>
          <w:rFonts w:ascii="Arial" w:hAnsi="Arial" w:cs="Arial"/>
          <w:sz w:val="20"/>
          <w:szCs w:val="20"/>
        </w:rPr>
        <w:t xml:space="preserve">Celui-ci est choisi parmi les habitants d'une commune voisine. L'estimateur est nommé par le maire en cas d'accord entre le conseil municipal et les locataires de la chasse communale. La nomination qui est valable pour la durée du bail est approuvée par le préfet qui peut la révoquer. En cas de désaccord avec la majorité des locataires, le préfet nomme d'office un estimateur </w:t>
      </w:r>
      <w:r>
        <w:rPr>
          <w:rFonts w:ascii="Arial" w:hAnsi="Arial" w:cs="Arial"/>
          <w:i/>
          <w:iCs/>
          <w:sz w:val="20"/>
          <w:szCs w:val="20"/>
        </w:rPr>
        <w:t>(art. R,429-8).</w:t>
      </w:r>
    </w:p>
    <w:p w14:paraId="75DA6A4C" w14:textId="77777777" w:rsidR="0094517A" w:rsidRDefault="0094517A">
      <w:pPr>
        <w:pStyle w:val="NormalWeb"/>
        <w:spacing w:before="0" w:beforeAutospacing="0" w:after="0"/>
        <w:jc w:val="both"/>
        <w:rPr>
          <w:rFonts w:ascii="Arial" w:hAnsi="Arial" w:cs="Arial"/>
          <w:sz w:val="20"/>
          <w:szCs w:val="20"/>
        </w:rPr>
      </w:pPr>
    </w:p>
    <w:p w14:paraId="572CE656" w14:textId="77777777" w:rsidR="0094517A" w:rsidRDefault="00707FC7">
      <w:pPr>
        <w:pStyle w:val="NormalWeb"/>
        <w:spacing w:before="0" w:beforeAutospacing="0" w:after="0"/>
        <w:jc w:val="both"/>
        <w:rPr>
          <w:rFonts w:ascii="Arial" w:hAnsi="Arial" w:cs="Arial"/>
          <w:i/>
          <w:iCs/>
          <w:sz w:val="20"/>
          <w:szCs w:val="20"/>
        </w:rPr>
      </w:pPr>
      <w:r>
        <w:rPr>
          <w:rFonts w:ascii="Arial" w:hAnsi="Arial" w:cs="Arial"/>
          <w:sz w:val="20"/>
          <w:szCs w:val="20"/>
        </w:rPr>
        <w:t>Dés réception de la réclamation, le maire organise une réunion avec le demandeur, le locataire ou son représentant et l'estimateur afin de constater et d'évaluer les dommages et de rechercher un accord amiable. Chacune des parties peut demander à ce que les dommages soient évalués à l'époque de la récolte (</w:t>
      </w:r>
      <w:r>
        <w:rPr>
          <w:rFonts w:ascii="Arial" w:hAnsi="Arial" w:cs="Arial"/>
          <w:i/>
          <w:iCs/>
          <w:sz w:val="20"/>
          <w:szCs w:val="20"/>
        </w:rPr>
        <w:t>art. R. 429-9 et 10).</w:t>
      </w:r>
    </w:p>
    <w:p w14:paraId="708D4D7A" w14:textId="77777777" w:rsidR="0094517A" w:rsidRDefault="0094517A">
      <w:pPr>
        <w:pStyle w:val="NormalWeb"/>
        <w:spacing w:before="0" w:beforeAutospacing="0" w:after="0"/>
        <w:jc w:val="both"/>
        <w:rPr>
          <w:rFonts w:ascii="Arial" w:hAnsi="Arial" w:cs="Arial"/>
          <w:sz w:val="20"/>
          <w:szCs w:val="20"/>
        </w:rPr>
      </w:pPr>
    </w:p>
    <w:p w14:paraId="77E23229" w14:textId="77777777" w:rsidR="0094517A" w:rsidRDefault="00707FC7">
      <w:pPr>
        <w:pStyle w:val="NormalWeb"/>
        <w:spacing w:before="0" w:beforeAutospacing="0" w:after="0"/>
        <w:jc w:val="both"/>
        <w:rPr>
          <w:rFonts w:ascii="Arial" w:hAnsi="Arial" w:cs="Arial"/>
          <w:sz w:val="20"/>
          <w:szCs w:val="20"/>
        </w:rPr>
      </w:pPr>
      <w:r>
        <w:rPr>
          <w:rFonts w:ascii="Arial" w:hAnsi="Arial" w:cs="Arial"/>
          <w:sz w:val="20"/>
          <w:szCs w:val="20"/>
        </w:rPr>
        <w:t xml:space="preserve">L'estimation des dommages donne lieu à un procès-verbal signé par l'estimateur et déposé à la mairie moins d'une semaine après la réunion de conciliation organisée par le maire </w:t>
      </w:r>
      <w:r>
        <w:rPr>
          <w:rFonts w:ascii="Arial" w:hAnsi="Arial" w:cs="Arial"/>
          <w:i/>
          <w:iCs/>
          <w:sz w:val="20"/>
          <w:szCs w:val="20"/>
        </w:rPr>
        <w:t xml:space="preserve">(art. 429-11). </w:t>
      </w:r>
      <w:r>
        <w:rPr>
          <w:rFonts w:ascii="Arial" w:hAnsi="Arial" w:cs="Arial"/>
          <w:sz w:val="20"/>
          <w:szCs w:val="20"/>
        </w:rPr>
        <w:t>L'estimateur a droit, sur sa demande, à des honoraires.</w:t>
      </w:r>
    </w:p>
    <w:p w14:paraId="3BAB3E04" w14:textId="77777777" w:rsidR="0094517A" w:rsidRDefault="0094517A">
      <w:pPr>
        <w:pStyle w:val="NormalWeb"/>
        <w:spacing w:before="0" w:beforeAutospacing="0" w:after="0"/>
        <w:jc w:val="both"/>
        <w:rPr>
          <w:rFonts w:ascii="Arial" w:hAnsi="Arial" w:cs="Arial"/>
          <w:sz w:val="20"/>
          <w:szCs w:val="20"/>
        </w:rPr>
      </w:pPr>
    </w:p>
    <w:p w14:paraId="3376E151" w14:textId="77777777" w:rsidR="0094517A" w:rsidRDefault="00707FC7">
      <w:pPr>
        <w:pStyle w:val="NormalWeb"/>
        <w:spacing w:before="0" w:beforeAutospacing="0" w:after="0"/>
        <w:jc w:val="both"/>
        <w:rPr>
          <w:rFonts w:ascii="Arial" w:hAnsi="Arial" w:cs="Arial"/>
          <w:sz w:val="20"/>
          <w:szCs w:val="20"/>
        </w:rPr>
      </w:pPr>
      <w:r>
        <w:rPr>
          <w:rFonts w:ascii="Arial" w:hAnsi="Arial" w:cs="Arial"/>
          <w:sz w:val="20"/>
          <w:szCs w:val="20"/>
        </w:rPr>
        <w:t>Lorsque les dommages ont été constatés, les honoraires et les frais sont, en principe, à la charge du locataire.</w:t>
      </w:r>
    </w:p>
    <w:p w14:paraId="72AEAD4D" w14:textId="77777777" w:rsidR="0094517A" w:rsidRDefault="0094517A">
      <w:pPr>
        <w:pStyle w:val="NormalWeb"/>
        <w:spacing w:before="0" w:beforeAutospacing="0" w:after="0"/>
        <w:jc w:val="both"/>
        <w:rPr>
          <w:rFonts w:ascii="Arial" w:hAnsi="Arial" w:cs="Arial"/>
          <w:sz w:val="20"/>
          <w:szCs w:val="20"/>
        </w:rPr>
      </w:pPr>
    </w:p>
    <w:p w14:paraId="323B4AC0" w14:textId="77777777" w:rsidR="0094517A" w:rsidRDefault="00707FC7">
      <w:pPr>
        <w:pStyle w:val="NormalWeb"/>
        <w:spacing w:before="0" w:beforeAutospacing="0" w:after="0"/>
        <w:jc w:val="both"/>
        <w:rPr>
          <w:rFonts w:ascii="Arial" w:hAnsi="Arial" w:cs="Arial"/>
          <w:sz w:val="20"/>
          <w:szCs w:val="20"/>
        </w:rPr>
      </w:pPr>
      <w:r>
        <w:rPr>
          <w:rFonts w:ascii="Arial" w:hAnsi="Arial" w:cs="Arial"/>
          <w:sz w:val="20"/>
          <w:szCs w:val="20"/>
        </w:rPr>
        <w:t>Si les dégâts sont inexistants ou si la demande d'indemnisation des dommages est manifestement exagérée, ces honoraires et les frais peuvent être imposés en totalité ou en partie à celui qui a subi les dommages.</w:t>
      </w:r>
    </w:p>
    <w:p w14:paraId="27AF7142" w14:textId="77777777" w:rsidR="0094517A" w:rsidRDefault="0094517A">
      <w:pPr>
        <w:pStyle w:val="NormalWeb"/>
        <w:spacing w:before="0" w:beforeAutospacing="0" w:after="0"/>
        <w:jc w:val="both"/>
        <w:rPr>
          <w:rFonts w:ascii="Arial" w:hAnsi="Arial" w:cs="Arial"/>
          <w:sz w:val="20"/>
          <w:szCs w:val="20"/>
        </w:rPr>
      </w:pPr>
    </w:p>
    <w:p w14:paraId="1098ABB9" w14:textId="77777777" w:rsidR="0094517A" w:rsidRDefault="00707FC7">
      <w:pPr>
        <w:pStyle w:val="NormalWeb"/>
        <w:spacing w:before="0" w:beforeAutospacing="0" w:after="0"/>
        <w:jc w:val="both"/>
        <w:rPr>
          <w:rFonts w:ascii="Arial" w:hAnsi="Arial" w:cs="Arial"/>
          <w:i/>
          <w:iCs/>
          <w:sz w:val="20"/>
          <w:szCs w:val="20"/>
        </w:rPr>
      </w:pPr>
      <w:r>
        <w:rPr>
          <w:rFonts w:ascii="Arial" w:hAnsi="Arial" w:cs="Arial"/>
          <w:sz w:val="20"/>
          <w:szCs w:val="20"/>
        </w:rPr>
        <w:t xml:space="preserve">Sur la demande de l'estimateur, la commune lui verse ses honoraires et frais, à charge pour elle de se retourner contre la partie à laquelle ils incombent </w:t>
      </w:r>
      <w:r>
        <w:rPr>
          <w:rFonts w:ascii="Arial" w:hAnsi="Arial" w:cs="Arial"/>
          <w:i/>
          <w:iCs/>
          <w:sz w:val="20"/>
          <w:szCs w:val="20"/>
        </w:rPr>
        <w:t xml:space="preserve">(art. R. 429-13). </w:t>
      </w:r>
    </w:p>
    <w:p w14:paraId="4C009B44" w14:textId="77777777" w:rsidR="0094517A" w:rsidRDefault="0094517A">
      <w:pPr>
        <w:pStyle w:val="NormalWeb"/>
        <w:spacing w:before="0" w:beforeAutospacing="0" w:after="0"/>
        <w:jc w:val="both"/>
        <w:rPr>
          <w:rFonts w:ascii="Arial" w:hAnsi="Arial" w:cs="Arial"/>
          <w:sz w:val="20"/>
          <w:szCs w:val="20"/>
        </w:rPr>
      </w:pPr>
    </w:p>
    <w:p w14:paraId="4E516F59" w14:textId="56194F6A" w:rsidR="0094517A" w:rsidRDefault="00707FC7">
      <w:pPr>
        <w:pStyle w:val="NormalWeb"/>
        <w:spacing w:before="0" w:beforeAutospacing="0" w:after="0"/>
        <w:jc w:val="both"/>
        <w:rPr>
          <w:rFonts w:ascii="Arial" w:hAnsi="Arial" w:cs="Arial"/>
          <w:sz w:val="20"/>
          <w:szCs w:val="20"/>
        </w:rPr>
      </w:pPr>
      <w:r>
        <w:rPr>
          <w:rFonts w:ascii="Arial" w:hAnsi="Arial" w:cs="Arial"/>
          <w:sz w:val="20"/>
          <w:szCs w:val="20"/>
        </w:rPr>
        <w:t xml:space="preserve">Dans ce cas, un titre de recettes est émis par la commune pour les recouvrer à l'encontre soit le locataire soit, le cas échéant, de la personne qui a subi les dommages. En cas d'impayé, le </w:t>
      </w:r>
      <w:r w:rsidR="00E7662D">
        <w:rPr>
          <w:rFonts w:ascii="Arial" w:hAnsi="Arial" w:cs="Arial"/>
          <w:sz w:val="20"/>
          <w:szCs w:val="20"/>
        </w:rPr>
        <w:t>trésorier</w:t>
      </w:r>
      <w:r>
        <w:rPr>
          <w:rFonts w:ascii="Arial" w:hAnsi="Arial" w:cs="Arial"/>
          <w:sz w:val="20"/>
          <w:szCs w:val="20"/>
        </w:rPr>
        <w:t xml:space="preserve"> municipal pourra actionner la caution dans les mêmes conditions que lors de la prise en charge des dégâts, dans la limite toutefois de 50 % du cautionnement. </w:t>
      </w:r>
    </w:p>
    <w:p w14:paraId="25297589" w14:textId="77777777" w:rsidR="0094517A" w:rsidRDefault="0094517A">
      <w:pPr>
        <w:pStyle w:val="NormalWeb"/>
        <w:spacing w:before="0" w:beforeAutospacing="0" w:after="0"/>
        <w:jc w:val="both"/>
        <w:rPr>
          <w:rFonts w:ascii="Arial" w:hAnsi="Arial" w:cs="Arial"/>
          <w:sz w:val="20"/>
          <w:szCs w:val="20"/>
        </w:rPr>
      </w:pPr>
    </w:p>
    <w:p w14:paraId="428ED832" w14:textId="41B61E06" w:rsidR="0094517A" w:rsidRDefault="00707FC7">
      <w:pPr>
        <w:pStyle w:val="NormalWeb"/>
        <w:spacing w:before="0" w:beforeAutospacing="0" w:after="0"/>
        <w:jc w:val="both"/>
        <w:rPr>
          <w:rFonts w:ascii="Arial" w:hAnsi="Arial" w:cs="Arial"/>
          <w:sz w:val="20"/>
          <w:szCs w:val="20"/>
        </w:rPr>
      </w:pPr>
      <w:r>
        <w:rPr>
          <w:rFonts w:ascii="Arial" w:hAnsi="Arial" w:cs="Arial"/>
          <w:sz w:val="20"/>
          <w:szCs w:val="20"/>
        </w:rPr>
        <w:t xml:space="preserve">Si le montant des dégâts de gibier ainsi que les horaires et frais de l'estimateur sont supérieurs à cette limite, le </w:t>
      </w:r>
      <w:r w:rsidR="00E7662D">
        <w:rPr>
          <w:rFonts w:ascii="Arial" w:hAnsi="Arial" w:cs="Arial"/>
          <w:sz w:val="20"/>
          <w:szCs w:val="20"/>
        </w:rPr>
        <w:t>trésorier</w:t>
      </w:r>
      <w:r>
        <w:rPr>
          <w:rFonts w:ascii="Arial" w:hAnsi="Arial" w:cs="Arial"/>
          <w:sz w:val="20"/>
          <w:szCs w:val="20"/>
        </w:rPr>
        <w:t xml:space="preserve"> municipal exercera son droit de poursuites.</w:t>
      </w:r>
    </w:p>
    <w:p w14:paraId="7D08BE51" w14:textId="77777777" w:rsidR="0094517A" w:rsidRDefault="0094517A">
      <w:pPr>
        <w:pStyle w:val="NormalWeb"/>
        <w:spacing w:before="0" w:beforeAutospacing="0" w:after="0"/>
        <w:jc w:val="both"/>
        <w:rPr>
          <w:rFonts w:ascii="Arial" w:hAnsi="Arial" w:cs="Arial"/>
          <w:b/>
          <w:bCs/>
          <w:sz w:val="20"/>
          <w:szCs w:val="20"/>
        </w:rPr>
      </w:pPr>
    </w:p>
    <w:p w14:paraId="537A268E" w14:textId="77777777" w:rsidR="0094517A" w:rsidRDefault="00707FC7">
      <w:pPr>
        <w:pStyle w:val="NormalWeb"/>
        <w:numPr>
          <w:ilvl w:val="0"/>
          <w:numId w:val="1"/>
        </w:numPr>
        <w:tabs>
          <w:tab w:val="clear" w:pos="17"/>
        </w:tabs>
        <w:spacing w:before="0" w:beforeAutospacing="0" w:after="0"/>
        <w:ind w:left="360"/>
        <w:jc w:val="both"/>
        <w:rPr>
          <w:rFonts w:ascii="Arial" w:hAnsi="Arial" w:cs="Arial"/>
          <w:b/>
          <w:bCs/>
          <w:sz w:val="20"/>
          <w:szCs w:val="20"/>
        </w:rPr>
      </w:pPr>
      <w:r>
        <w:rPr>
          <w:rFonts w:ascii="Arial" w:hAnsi="Arial" w:cs="Arial"/>
          <w:b/>
          <w:bCs/>
          <w:sz w:val="20"/>
          <w:szCs w:val="20"/>
        </w:rPr>
        <w:t>Phase judiciaire</w:t>
      </w:r>
    </w:p>
    <w:p w14:paraId="1025FC9E" w14:textId="77777777" w:rsidR="0094517A" w:rsidRDefault="0094517A">
      <w:pPr>
        <w:pStyle w:val="NormalWeb"/>
        <w:spacing w:before="0" w:beforeAutospacing="0" w:after="0"/>
        <w:jc w:val="both"/>
        <w:rPr>
          <w:rFonts w:ascii="Arial" w:hAnsi="Arial" w:cs="Arial"/>
          <w:sz w:val="20"/>
          <w:szCs w:val="20"/>
        </w:rPr>
      </w:pPr>
    </w:p>
    <w:p w14:paraId="1C58E383" w14:textId="3F1D1FFA" w:rsidR="0094517A" w:rsidRDefault="00707FC7">
      <w:pPr>
        <w:pStyle w:val="NormalWeb"/>
        <w:spacing w:before="0" w:beforeAutospacing="0" w:after="0"/>
        <w:jc w:val="both"/>
        <w:rPr>
          <w:rFonts w:ascii="Arial" w:hAnsi="Arial" w:cs="Arial"/>
          <w:i/>
          <w:iCs/>
          <w:sz w:val="20"/>
          <w:szCs w:val="20"/>
        </w:rPr>
      </w:pPr>
      <w:r>
        <w:rPr>
          <w:rFonts w:ascii="Arial" w:hAnsi="Arial" w:cs="Arial"/>
          <w:sz w:val="20"/>
          <w:szCs w:val="20"/>
        </w:rPr>
        <w:t xml:space="preserve">En cas d'échec de la réunion de conciliation organisée par le maire, les parties peuvent saisir les tribunaux en formant une opposition à l'estimation auprès du maire dans un délai de deux semaines à compter de la réunion de conciliation diligentée par le maire </w:t>
      </w:r>
      <w:r>
        <w:rPr>
          <w:rFonts w:ascii="Arial" w:hAnsi="Arial" w:cs="Arial"/>
          <w:i/>
          <w:iCs/>
          <w:sz w:val="20"/>
          <w:szCs w:val="20"/>
        </w:rPr>
        <w:t xml:space="preserve">(art. 429-12). </w:t>
      </w:r>
    </w:p>
    <w:p w14:paraId="191CCF37" w14:textId="77777777" w:rsidR="0094517A" w:rsidRDefault="0094517A">
      <w:pPr>
        <w:pStyle w:val="NormalWeb"/>
        <w:spacing w:before="0" w:beforeAutospacing="0" w:after="0"/>
        <w:jc w:val="both"/>
        <w:rPr>
          <w:rFonts w:ascii="Arial" w:hAnsi="Arial" w:cs="Arial"/>
          <w:sz w:val="20"/>
          <w:szCs w:val="20"/>
        </w:rPr>
      </w:pPr>
    </w:p>
    <w:p w14:paraId="0146346C" w14:textId="77777777" w:rsidR="0094517A" w:rsidRDefault="00707FC7">
      <w:pPr>
        <w:pStyle w:val="NormalWeb"/>
        <w:spacing w:before="0" w:beforeAutospacing="0" w:after="0"/>
        <w:jc w:val="both"/>
        <w:rPr>
          <w:rFonts w:ascii="Arial" w:hAnsi="Arial" w:cs="Arial"/>
          <w:sz w:val="20"/>
          <w:szCs w:val="20"/>
        </w:rPr>
      </w:pPr>
      <w:r>
        <w:rPr>
          <w:rFonts w:ascii="Arial" w:hAnsi="Arial" w:cs="Arial"/>
          <w:sz w:val="20"/>
          <w:szCs w:val="20"/>
        </w:rPr>
        <w:t>A défaut de contestation, les dommages sont considérés comme définitivement fixés.</w:t>
      </w:r>
    </w:p>
    <w:p w14:paraId="7D55B2A0" w14:textId="77777777" w:rsidR="0094517A" w:rsidRDefault="0094517A">
      <w:pPr>
        <w:pStyle w:val="NormalWeb"/>
        <w:spacing w:before="0" w:beforeAutospacing="0" w:after="0"/>
        <w:jc w:val="both"/>
        <w:rPr>
          <w:rFonts w:ascii="Arial" w:hAnsi="Arial" w:cs="Arial"/>
          <w:sz w:val="20"/>
          <w:szCs w:val="20"/>
        </w:rPr>
      </w:pPr>
    </w:p>
    <w:p w14:paraId="5BB2A873" w14:textId="41477B45" w:rsidR="0094517A" w:rsidRDefault="00707FC7">
      <w:pPr>
        <w:pStyle w:val="NormalWeb"/>
        <w:spacing w:before="0" w:beforeAutospacing="0" w:after="0"/>
        <w:jc w:val="both"/>
        <w:rPr>
          <w:rFonts w:ascii="Arial" w:hAnsi="Arial" w:cs="Arial"/>
          <w:sz w:val="20"/>
          <w:szCs w:val="20"/>
        </w:rPr>
      </w:pPr>
      <w:r>
        <w:rPr>
          <w:rFonts w:ascii="Arial" w:hAnsi="Arial" w:cs="Arial"/>
          <w:sz w:val="20"/>
          <w:szCs w:val="20"/>
        </w:rPr>
        <w:t xml:space="preserve">Si le locataire de la chasse n'habite pas dans le ressort du tribunal </w:t>
      </w:r>
      <w:r w:rsidR="00E7662D">
        <w:rPr>
          <w:rFonts w:ascii="Arial" w:hAnsi="Arial" w:cs="Arial"/>
          <w:sz w:val="20"/>
          <w:szCs w:val="20"/>
        </w:rPr>
        <w:t>judiciaire</w:t>
      </w:r>
      <w:r>
        <w:rPr>
          <w:rFonts w:ascii="Arial" w:hAnsi="Arial" w:cs="Arial"/>
          <w:sz w:val="20"/>
          <w:szCs w:val="20"/>
        </w:rPr>
        <w:t xml:space="preserve"> dont relève la commune bailleresse, il désigne un représentant demeurant dans ce ressort pour suivre, en son nom, la procédure de fixation des dégâts et conclure tous arrangements ; les notifications prescrites lui sont adressées </w:t>
      </w:r>
      <w:r>
        <w:rPr>
          <w:rFonts w:ascii="Arial" w:hAnsi="Arial" w:cs="Arial"/>
          <w:i/>
          <w:iCs/>
          <w:sz w:val="20"/>
          <w:szCs w:val="20"/>
        </w:rPr>
        <w:t>(R. 429-14). »</w:t>
      </w:r>
    </w:p>
    <w:sectPr w:rsidR="0094517A" w:rsidSect="002548DA">
      <w:pgSz w:w="11906" w:h="16838"/>
      <w:pgMar w:top="70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662BB5"/>
    <w:multiLevelType w:val="hybridMultilevel"/>
    <w:tmpl w:val="D0F4D63C"/>
    <w:lvl w:ilvl="0" w:tplc="73F29AB2">
      <w:start w:val="1"/>
      <w:numFmt w:val="lowerLetter"/>
      <w:lvlText w:val="%1)"/>
      <w:lvlJc w:val="left"/>
      <w:pPr>
        <w:tabs>
          <w:tab w:val="num" w:pos="17"/>
        </w:tabs>
        <w:ind w:left="17" w:hanging="360"/>
      </w:pPr>
      <w:rPr>
        <w:rFonts w:hint="default"/>
      </w:rPr>
    </w:lvl>
    <w:lvl w:ilvl="1" w:tplc="040C0019">
      <w:start w:val="1"/>
      <w:numFmt w:val="lowerLetter"/>
      <w:pStyle w:val="Titre2"/>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16cid:durableId="1829402264">
    <w:abstractNumId w:val="1"/>
  </w:num>
  <w:num w:numId="2" w16cid:durableId="2126996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DA"/>
    <w:rsid w:val="002548DA"/>
    <w:rsid w:val="00707FC7"/>
    <w:rsid w:val="00734C1C"/>
    <w:rsid w:val="00737970"/>
    <w:rsid w:val="0094517A"/>
    <w:rsid w:val="00E766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68789"/>
  <w15:chartTrackingRefBased/>
  <w15:docId w15:val="{937748D3-6BE2-4072-8500-BEF26734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2">
    <w:name w:val="heading 2"/>
    <w:basedOn w:val="Normal"/>
    <w:next w:val="Normal"/>
    <w:qFormat/>
    <w:pPr>
      <w:keepNext/>
      <w:numPr>
        <w:ilvl w:val="1"/>
        <w:numId w:val="1"/>
      </w:numPr>
      <w:suppressAutoHyphens/>
      <w:outlineLvl w:val="1"/>
    </w:pPr>
    <w:rPr>
      <w:rFonts w:ascii="Arial" w:hAnsi="Arial" w:cs="Arial"/>
      <w:b/>
      <w:sz w:val="28"/>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pPr>
      <w:spacing w:before="100" w:beforeAutospacing="1" w:after="119"/>
    </w:pPr>
    <w:rPr>
      <w:rFonts w:ascii="Arial Unicode MS" w:eastAsia="Arial Unicode MS" w:hAnsi="Arial Unicode MS" w:cs="Arial Unicode MS"/>
    </w:rPr>
  </w:style>
  <w:style w:type="paragraph" w:styleId="Pieddepage">
    <w:name w:val="footer"/>
    <w:basedOn w:val="Normal"/>
    <w:semiHidden/>
    <w:pPr>
      <w:tabs>
        <w:tab w:val="center" w:pos="4536"/>
        <w:tab w:val="right" w:pos="9072"/>
      </w:tabs>
    </w:pPr>
  </w:style>
  <w:style w:type="paragraph" w:customStyle="1" w:styleId="Pieddeprempage">
    <w:name w:val="Pied de prem. page"/>
    <w:basedOn w:val="Pieddepage"/>
    <w:pPr>
      <w:keepLines/>
      <w:tabs>
        <w:tab w:val="center" w:pos="4320"/>
      </w:tabs>
      <w:suppressAutoHyphens/>
      <w:jc w:val="center"/>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531</Words>
  <Characters>2782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lpstr>
    </vt:vector>
  </TitlesOfParts>
  <Company>Ministère équipement</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Utilisateur Windows</dc:creator>
  <cp:keywords/>
  <dc:description/>
  <cp:lastModifiedBy>GRIES Stéphanie</cp:lastModifiedBy>
  <cp:revision>6</cp:revision>
  <dcterms:created xsi:type="dcterms:W3CDTF">2023-01-19T14:05:00Z</dcterms:created>
  <dcterms:modified xsi:type="dcterms:W3CDTF">2023-04-19T08:57:00Z</dcterms:modified>
</cp:coreProperties>
</file>